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AB6" w:rsidRDefault="000B4AB6" w:rsidP="005D220B">
      <w:pPr>
        <w:widowControl w:val="0"/>
        <w:autoSpaceDE w:val="0"/>
        <w:autoSpaceDN w:val="0"/>
        <w:spacing w:before="60" w:after="60" w:line="300" w:lineRule="atLeast"/>
        <w:ind w:left="227" w:right="96" w:firstLine="11"/>
        <w:contextualSpacing/>
        <w:jc w:val="center"/>
        <w:rPr>
          <w:rFonts w:eastAsia="Times New Roman" w:cstheme="minorHAnsi"/>
          <w:b/>
          <w:sz w:val="24"/>
          <w:szCs w:val="24"/>
          <w:lang w:val="pt-PT"/>
        </w:rPr>
      </w:pPr>
    </w:p>
    <w:p w:rsidR="00514E88" w:rsidRPr="000B4AB6" w:rsidRDefault="00514E88" w:rsidP="00A21F04">
      <w:pPr>
        <w:widowControl w:val="0"/>
        <w:autoSpaceDE w:val="0"/>
        <w:autoSpaceDN w:val="0"/>
        <w:spacing w:before="60" w:after="60" w:line="340" w:lineRule="atLeast"/>
        <w:ind w:left="227" w:right="96" w:firstLine="11"/>
        <w:contextualSpacing/>
        <w:jc w:val="center"/>
        <w:rPr>
          <w:rFonts w:eastAsia="Times New Roman" w:cstheme="minorHAnsi"/>
          <w:b/>
          <w:sz w:val="24"/>
          <w:szCs w:val="24"/>
          <w:lang w:val="pt-PT"/>
        </w:rPr>
      </w:pPr>
      <w:r w:rsidRPr="000B4AB6">
        <w:rPr>
          <w:rFonts w:eastAsia="Times New Roman" w:cstheme="minorHAnsi"/>
          <w:b/>
          <w:sz w:val="24"/>
          <w:szCs w:val="24"/>
          <w:lang w:val="pt-PT"/>
        </w:rPr>
        <w:t xml:space="preserve">DECLARAÇÃO </w:t>
      </w:r>
    </w:p>
    <w:p w:rsidR="00FE40B6" w:rsidRPr="000B4AB6" w:rsidRDefault="00514E88" w:rsidP="00A21F04">
      <w:pPr>
        <w:widowControl w:val="0"/>
        <w:autoSpaceDE w:val="0"/>
        <w:autoSpaceDN w:val="0"/>
        <w:spacing w:before="60" w:after="60" w:line="340" w:lineRule="atLeast"/>
        <w:ind w:left="227" w:right="96" w:firstLine="11"/>
        <w:contextualSpacing/>
        <w:jc w:val="center"/>
        <w:rPr>
          <w:rFonts w:eastAsia="Times New Roman" w:cstheme="minorHAnsi"/>
          <w:b/>
          <w:sz w:val="24"/>
          <w:szCs w:val="24"/>
          <w:lang w:val="pt-PT"/>
        </w:rPr>
      </w:pPr>
      <w:r w:rsidRPr="000B4AB6">
        <w:rPr>
          <w:rFonts w:eastAsia="Times New Roman" w:cstheme="minorHAnsi"/>
          <w:b/>
          <w:sz w:val="24"/>
          <w:szCs w:val="24"/>
          <w:lang w:val="pt-PT"/>
        </w:rPr>
        <w:t xml:space="preserve">DA ALÍNEA F) DO ANEXO </w:t>
      </w:r>
      <w:r w:rsidR="007B107C">
        <w:rPr>
          <w:rFonts w:eastAsia="Times New Roman" w:cstheme="minorHAnsi"/>
          <w:b/>
          <w:sz w:val="24"/>
          <w:szCs w:val="24"/>
          <w:lang w:val="pt-PT"/>
        </w:rPr>
        <w:t>4</w:t>
      </w:r>
      <w:r w:rsidRPr="000B4AB6">
        <w:rPr>
          <w:rFonts w:eastAsia="Times New Roman" w:cstheme="minorHAnsi"/>
          <w:b/>
          <w:sz w:val="24"/>
          <w:szCs w:val="24"/>
          <w:lang w:val="pt-PT"/>
        </w:rPr>
        <w:t xml:space="preserve"> DO AVISO DE PUBLICITAÇÃO N.º </w:t>
      </w:r>
      <w:r w:rsidR="007B107C">
        <w:rPr>
          <w:rFonts w:eastAsia="Times New Roman" w:cstheme="minorHAnsi"/>
          <w:b/>
          <w:sz w:val="24"/>
          <w:szCs w:val="24"/>
          <w:highlight w:val="yellow"/>
          <w:lang w:val="pt-PT"/>
        </w:rPr>
        <w:t>03/CO2‐I01/202</w:t>
      </w:r>
      <w:r w:rsidR="00E71854">
        <w:rPr>
          <w:rFonts w:eastAsia="Times New Roman" w:cstheme="minorHAnsi"/>
          <w:b/>
          <w:sz w:val="24"/>
          <w:szCs w:val="24"/>
          <w:highlight w:val="yellow"/>
          <w:lang w:val="pt-PT"/>
        </w:rPr>
        <w:t>2</w:t>
      </w:r>
    </w:p>
    <w:p w:rsidR="005D220B" w:rsidRPr="000B4AB6" w:rsidRDefault="005D220B" w:rsidP="00A21F04">
      <w:pPr>
        <w:widowControl w:val="0"/>
        <w:autoSpaceDE w:val="0"/>
        <w:autoSpaceDN w:val="0"/>
        <w:spacing w:before="60" w:after="60" w:line="340" w:lineRule="atLeast"/>
        <w:ind w:left="224" w:right="98" w:firstLine="13"/>
        <w:contextualSpacing/>
        <w:jc w:val="both"/>
        <w:rPr>
          <w:rFonts w:eastAsia="Times New Roman" w:cstheme="minorHAnsi"/>
          <w:sz w:val="24"/>
          <w:szCs w:val="24"/>
          <w:lang w:val="pt-PT"/>
        </w:rPr>
      </w:pPr>
    </w:p>
    <w:p w:rsidR="00FE40B6" w:rsidRPr="000B4AB6" w:rsidRDefault="00FE40B6" w:rsidP="00A21F04">
      <w:pPr>
        <w:widowControl w:val="0"/>
        <w:autoSpaceDE w:val="0"/>
        <w:autoSpaceDN w:val="0"/>
        <w:spacing w:before="60" w:after="60" w:line="340" w:lineRule="atLeast"/>
        <w:ind w:left="224" w:right="98" w:firstLine="13"/>
        <w:contextualSpacing/>
        <w:jc w:val="both"/>
        <w:rPr>
          <w:rFonts w:eastAsia="Times New Roman" w:cstheme="minorHAnsi"/>
          <w:sz w:val="24"/>
          <w:szCs w:val="24"/>
          <w:lang w:val="pt-PT"/>
        </w:rPr>
      </w:pPr>
      <w:r w:rsidRPr="000B4AB6">
        <w:rPr>
          <w:rFonts w:eastAsia="Times New Roman" w:cstheme="minorHAnsi"/>
          <w:sz w:val="24"/>
          <w:szCs w:val="24"/>
          <w:lang w:val="pt-PT"/>
        </w:rPr>
        <w:t xml:space="preserve">O/A _______ (nome da entidade), representado por _______________, na qualidade de ___________, DECLARA, no âmbito da candidatura designada por _______________, </w:t>
      </w:r>
      <w:r w:rsidR="005D220B" w:rsidRPr="000B4AB6">
        <w:rPr>
          <w:rFonts w:eastAsia="Times New Roman" w:cstheme="minorHAnsi"/>
          <w:sz w:val="24"/>
          <w:szCs w:val="24"/>
          <w:lang w:val="pt-PT"/>
        </w:rPr>
        <w:t xml:space="preserve">apresentada </w:t>
      </w:r>
      <w:r w:rsidR="00284B24" w:rsidRPr="000B4AB6">
        <w:rPr>
          <w:rFonts w:eastAsia="Times New Roman" w:cstheme="minorHAnsi"/>
          <w:sz w:val="24"/>
          <w:szCs w:val="24"/>
          <w:lang w:val="pt-PT"/>
        </w:rPr>
        <w:t>ao abrigo do Programa de Apoio ao Acesso à Habitação objeto do Investimento RE-C02-i01 do Plano de Recuperação e Resiliência (PRR)</w:t>
      </w:r>
      <w:r w:rsidR="005D220B" w:rsidRPr="000B4AB6">
        <w:rPr>
          <w:rFonts w:eastAsia="Times New Roman" w:cstheme="minorHAnsi"/>
          <w:sz w:val="24"/>
          <w:szCs w:val="24"/>
          <w:lang w:val="pt-PT"/>
        </w:rPr>
        <w:t xml:space="preserve"> (adiante Programa)</w:t>
      </w:r>
      <w:r w:rsidR="00284B24" w:rsidRPr="000B4AB6">
        <w:rPr>
          <w:rFonts w:eastAsia="Times New Roman" w:cstheme="minorHAnsi"/>
          <w:sz w:val="24"/>
          <w:szCs w:val="24"/>
          <w:lang w:val="pt-PT"/>
        </w:rPr>
        <w:t xml:space="preserve">, </w:t>
      </w:r>
      <w:r w:rsidRPr="000B4AB6">
        <w:rPr>
          <w:rFonts w:eastAsia="Times New Roman" w:cstheme="minorHAnsi"/>
          <w:sz w:val="24"/>
          <w:szCs w:val="24"/>
          <w:lang w:val="pt-PT"/>
        </w:rPr>
        <w:t xml:space="preserve">para efeitos da </w:t>
      </w:r>
      <w:r w:rsidRPr="007B107C">
        <w:rPr>
          <w:rFonts w:eastAsia="Times New Roman" w:cstheme="minorHAnsi"/>
          <w:sz w:val="24"/>
          <w:szCs w:val="24"/>
          <w:lang w:val="pt-PT"/>
        </w:rPr>
        <w:t>alínea</w:t>
      </w:r>
      <w:r w:rsidR="006D15FC" w:rsidRPr="007B107C">
        <w:rPr>
          <w:rFonts w:eastAsia="Times New Roman" w:cstheme="minorHAnsi"/>
          <w:sz w:val="24"/>
          <w:szCs w:val="24"/>
          <w:lang w:val="pt-PT"/>
        </w:rPr>
        <w:t xml:space="preserve"> f</w:t>
      </w:r>
      <w:r w:rsidRPr="007B107C">
        <w:rPr>
          <w:rFonts w:eastAsia="Times New Roman" w:cstheme="minorHAnsi"/>
          <w:sz w:val="24"/>
          <w:szCs w:val="24"/>
          <w:lang w:val="pt-PT"/>
        </w:rPr>
        <w:t xml:space="preserve">) do Anexo </w:t>
      </w:r>
      <w:r w:rsidR="008230D4" w:rsidRPr="007B107C">
        <w:rPr>
          <w:rFonts w:eastAsia="Times New Roman" w:cstheme="minorHAnsi"/>
          <w:sz w:val="24"/>
          <w:szCs w:val="24"/>
          <w:lang w:val="pt-PT"/>
        </w:rPr>
        <w:t>4</w:t>
      </w:r>
      <w:r w:rsidRPr="007B107C">
        <w:rPr>
          <w:rFonts w:eastAsia="Times New Roman" w:cstheme="minorHAnsi"/>
          <w:sz w:val="24"/>
          <w:szCs w:val="24"/>
          <w:lang w:val="pt-PT"/>
        </w:rPr>
        <w:t xml:space="preserve"> do Aviso </w:t>
      </w:r>
      <w:r w:rsidR="00E37D51" w:rsidRPr="007B107C">
        <w:rPr>
          <w:rFonts w:eastAsia="Times New Roman" w:cstheme="minorHAnsi"/>
          <w:sz w:val="24"/>
          <w:szCs w:val="24"/>
          <w:lang w:val="pt-PT"/>
        </w:rPr>
        <w:t xml:space="preserve">- Convite </w:t>
      </w:r>
      <w:r w:rsidRPr="007B107C">
        <w:rPr>
          <w:rFonts w:eastAsia="Times New Roman" w:cstheme="minorHAnsi"/>
          <w:sz w:val="24"/>
          <w:szCs w:val="24"/>
          <w:lang w:val="pt-PT"/>
        </w:rPr>
        <w:t>n.º</w:t>
      </w:r>
      <w:r w:rsidRPr="007B107C">
        <w:rPr>
          <w:rFonts w:eastAsia="Times New Roman" w:cstheme="minorHAnsi"/>
          <w:sz w:val="24"/>
          <w:szCs w:val="24"/>
          <w:highlight w:val="yellow"/>
          <w:lang w:val="pt-PT"/>
        </w:rPr>
        <w:t xml:space="preserve"> 0</w:t>
      </w:r>
      <w:r w:rsidR="000B4AB6" w:rsidRPr="007B107C">
        <w:rPr>
          <w:rFonts w:eastAsia="Times New Roman" w:cstheme="minorHAnsi"/>
          <w:sz w:val="24"/>
          <w:szCs w:val="24"/>
          <w:highlight w:val="yellow"/>
          <w:lang w:val="pt-PT"/>
        </w:rPr>
        <w:t>3</w:t>
      </w:r>
      <w:r w:rsidR="007B107C">
        <w:rPr>
          <w:rFonts w:eastAsia="Times New Roman" w:cstheme="minorHAnsi"/>
          <w:sz w:val="24"/>
          <w:szCs w:val="24"/>
          <w:highlight w:val="yellow"/>
          <w:lang w:val="pt-PT"/>
        </w:rPr>
        <w:t>/CO2‐i01/202</w:t>
      </w:r>
      <w:r w:rsidR="00E71854">
        <w:rPr>
          <w:rFonts w:eastAsia="Times New Roman" w:cstheme="minorHAnsi"/>
          <w:sz w:val="24"/>
          <w:szCs w:val="24"/>
          <w:highlight w:val="yellow"/>
          <w:lang w:val="pt-PT"/>
        </w:rPr>
        <w:t>2</w:t>
      </w:r>
      <w:r w:rsidRPr="000B4AB6">
        <w:rPr>
          <w:rFonts w:eastAsia="Times New Roman" w:cstheme="minorHAnsi"/>
          <w:sz w:val="24"/>
          <w:szCs w:val="24"/>
          <w:lang w:val="pt-PT"/>
        </w:rPr>
        <w:t xml:space="preserve">, que </w:t>
      </w:r>
      <w:r w:rsidR="006D15FC" w:rsidRPr="000B4AB6">
        <w:rPr>
          <w:rFonts w:eastAsia="Times New Roman" w:cstheme="minorHAnsi"/>
          <w:sz w:val="24"/>
          <w:szCs w:val="24"/>
          <w:lang w:val="pt-PT"/>
        </w:rPr>
        <w:t>se compromete a</w:t>
      </w:r>
      <w:r w:rsidRPr="000B4AB6">
        <w:rPr>
          <w:rFonts w:eastAsia="Times New Roman" w:cstheme="minorHAnsi"/>
          <w:sz w:val="24"/>
          <w:szCs w:val="24"/>
          <w:lang w:val="pt-PT"/>
        </w:rPr>
        <w:t>:</w:t>
      </w:r>
    </w:p>
    <w:p w:rsidR="000B4AB6" w:rsidRPr="000B4AB6" w:rsidRDefault="000B4AB6" w:rsidP="00A21F04">
      <w:pPr>
        <w:pStyle w:val="ListParagraph"/>
        <w:numPr>
          <w:ilvl w:val="0"/>
          <w:numId w:val="4"/>
        </w:numPr>
        <w:tabs>
          <w:tab w:val="left" w:pos="5954"/>
        </w:tabs>
        <w:spacing w:before="60" w:after="60" w:line="340" w:lineRule="atLeast"/>
        <w:ind w:left="1276" w:hanging="284"/>
        <w:jc w:val="both"/>
        <w:rPr>
          <w:rFonts w:cstheme="minorHAnsi"/>
          <w:color w:val="000000"/>
          <w:sz w:val="24"/>
          <w:szCs w:val="24"/>
          <w:lang w:val="pt-PT"/>
        </w:rPr>
      </w:pPr>
      <w:r w:rsidRPr="000B4AB6">
        <w:rPr>
          <w:rFonts w:cstheme="minorHAnsi"/>
          <w:sz w:val="24"/>
          <w:szCs w:val="24"/>
          <w:lang w:val="pt-PT"/>
        </w:rPr>
        <w:t>Assegurar a autenticidade e segurança da informação prestada, através de sistemas de autenticação e assinatura eletrónica, nos termos do artigo 4.º da Portaria n.º 138-C/2021, de 30 de junho;</w:t>
      </w:r>
    </w:p>
    <w:p w:rsidR="000B4AB6" w:rsidRPr="000B4AB6" w:rsidRDefault="000B4AB6" w:rsidP="00A21F04">
      <w:pPr>
        <w:pStyle w:val="ListParagraph"/>
        <w:numPr>
          <w:ilvl w:val="0"/>
          <w:numId w:val="4"/>
        </w:numPr>
        <w:tabs>
          <w:tab w:val="left" w:pos="5954"/>
        </w:tabs>
        <w:spacing w:before="60" w:after="60" w:line="340" w:lineRule="atLeast"/>
        <w:ind w:left="1276" w:hanging="284"/>
        <w:jc w:val="both"/>
        <w:rPr>
          <w:rFonts w:cstheme="minorHAnsi"/>
          <w:sz w:val="24"/>
          <w:szCs w:val="24"/>
          <w:lang w:val="pt-PT"/>
        </w:rPr>
      </w:pPr>
      <w:r w:rsidRPr="000B4AB6">
        <w:rPr>
          <w:rFonts w:cstheme="minorHAnsi"/>
          <w:sz w:val="24"/>
          <w:szCs w:val="24"/>
          <w:lang w:val="pt-PT"/>
        </w:rPr>
        <w:t>Conservar os documentos relativos à realização dos investimentos fin</w:t>
      </w:r>
      <w:bookmarkStart w:id="0" w:name="_GoBack"/>
      <w:bookmarkEnd w:id="0"/>
      <w:r w:rsidRPr="000B4AB6">
        <w:rPr>
          <w:rFonts w:cstheme="minorHAnsi"/>
          <w:sz w:val="24"/>
          <w:szCs w:val="24"/>
          <w:lang w:val="pt-PT"/>
        </w:rPr>
        <w:t>anciados pelo Investimento, sob a forma de documentos originais ou de cópias autenticadas, preferencialmente em suporte digital, durante o prazo de 6 anos;</w:t>
      </w:r>
    </w:p>
    <w:p w:rsidR="000B4AB6" w:rsidRPr="000B4AB6" w:rsidRDefault="000B4AB6" w:rsidP="00A21F04">
      <w:pPr>
        <w:pStyle w:val="ListParagraph"/>
        <w:numPr>
          <w:ilvl w:val="0"/>
          <w:numId w:val="4"/>
        </w:numPr>
        <w:tabs>
          <w:tab w:val="left" w:pos="5954"/>
        </w:tabs>
        <w:spacing w:before="60" w:after="60" w:line="340" w:lineRule="atLeast"/>
        <w:ind w:left="1276" w:hanging="284"/>
        <w:jc w:val="both"/>
        <w:rPr>
          <w:rFonts w:cstheme="minorHAnsi"/>
          <w:color w:val="000000"/>
          <w:sz w:val="24"/>
          <w:szCs w:val="24"/>
          <w:lang w:val="pt-PT"/>
        </w:rPr>
      </w:pPr>
      <w:r w:rsidRPr="000B4AB6">
        <w:rPr>
          <w:rFonts w:cstheme="minorHAnsi"/>
          <w:sz w:val="24"/>
          <w:szCs w:val="24"/>
          <w:lang w:val="pt-PT"/>
        </w:rPr>
        <w:t>Autorizar o acesso e tratamento dos dados necessários ao cumprimento das regras de gestão e de monitorização das verbas do Investimento, bem como o acesso a bases de dados públicas, designadamente do ficheiro nacional de pessoas coletivas do Instituto de Registos e Notariado, I.P., dos dados da Autoridade Tributária e do sistema de dívidas à Segurança Social, quando aplicável;</w:t>
      </w:r>
    </w:p>
    <w:p w:rsidR="000B4AB6" w:rsidRPr="000B4AB6" w:rsidRDefault="000B4AB6" w:rsidP="00A21F04">
      <w:pPr>
        <w:pStyle w:val="ListParagraph"/>
        <w:numPr>
          <w:ilvl w:val="0"/>
          <w:numId w:val="4"/>
        </w:numPr>
        <w:tabs>
          <w:tab w:val="left" w:pos="5954"/>
        </w:tabs>
        <w:spacing w:before="60" w:after="60" w:line="340" w:lineRule="atLeast"/>
        <w:ind w:left="1276" w:hanging="283"/>
        <w:jc w:val="both"/>
        <w:rPr>
          <w:rFonts w:cstheme="minorHAnsi"/>
          <w:color w:val="000000"/>
          <w:sz w:val="24"/>
          <w:szCs w:val="24"/>
          <w:lang w:val="pt-PT"/>
        </w:rPr>
      </w:pPr>
      <w:r w:rsidRPr="000B4AB6">
        <w:rPr>
          <w:rFonts w:cstheme="minorHAnsi"/>
          <w:color w:val="303030"/>
          <w:sz w:val="24"/>
          <w:szCs w:val="24"/>
          <w:lang w:val="pt-PT"/>
        </w:rPr>
        <w:t>C</w:t>
      </w:r>
      <w:r w:rsidRPr="000B4AB6">
        <w:rPr>
          <w:rFonts w:cstheme="minorHAnsi"/>
          <w:color w:val="000000"/>
          <w:sz w:val="24"/>
          <w:szCs w:val="24"/>
          <w:lang w:val="pt-PT"/>
        </w:rPr>
        <w:t xml:space="preserve">onferir à Procuradoria Europeia, ao OLAF, ao Tribunal de Contas, ao IHRU, I.P., e, se for caso disso, às demais autoridades nacionais competentes, nos termos do artigo 129.º do Regulamento (UE) 2017/1939 e do Regulamento (UE, </w:t>
      </w:r>
      <w:proofErr w:type="spellStart"/>
      <w:r w:rsidRPr="000B4AB6">
        <w:rPr>
          <w:rFonts w:cstheme="minorHAnsi"/>
          <w:color w:val="000000"/>
          <w:sz w:val="24"/>
          <w:szCs w:val="24"/>
          <w:lang w:val="pt-PT"/>
        </w:rPr>
        <w:t>Euratom</w:t>
      </w:r>
      <w:proofErr w:type="spellEnd"/>
      <w:r w:rsidRPr="000B4AB6">
        <w:rPr>
          <w:rFonts w:cstheme="minorHAnsi"/>
          <w:color w:val="000000"/>
          <w:sz w:val="24"/>
          <w:szCs w:val="24"/>
          <w:lang w:val="pt-PT"/>
        </w:rPr>
        <w:t>) n.º 883/2013, ambos do Parlamento Europeu e do Conselho, os direitos e o acesso necessários para que aquelas entidades exerçam de forma abrangente as respetivas competências, incluindo, se for o caso:</w:t>
      </w:r>
    </w:p>
    <w:p w:rsidR="000B4AB6" w:rsidRPr="000B4AB6" w:rsidRDefault="000B4AB6" w:rsidP="00A21F04">
      <w:pPr>
        <w:pStyle w:val="ListParagraph"/>
        <w:numPr>
          <w:ilvl w:val="0"/>
          <w:numId w:val="5"/>
        </w:numPr>
        <w:tabs>
          <w:tab w:val="left" w:pos="5954"/>
        </w:tabs>
        <w:spacing w:before="60" w:after="60" w:line="340" w:lineRule="atLeast"/>
        <w:ind w:left="1701" w:hanging="357"/>
        <w:jc w:val="both"/>
        <w:rPr>
          <w:rFonts w:cstheme="minorHAnsi"/>
          <w:color w:val="000000"/>
          <w:sz w:val="24"/>
          <w:szCs w:val="24"/>
          <w:lang w:val="pt-PT"/>
        </w:rPr>
      </w:pPr>
      <w:r w:rsidRPr="000B4AB6">
        <w:rPr>
          <w:rFonts w:cstheme="minorHAnsi"/>
          <w:color w:val="000000"/>
          <w:sz w:val="24"/>
          <w:szCs w:val="24"/>
          <w:lang w:val="pt-PT"/>
        </w:rPr>
        <w:t xml:space="preserve">Conferir os direitos de efetuar inquéritos e </w:t>
      </w:r>
      <w:r w:rsidRPr="000B4AB6">
        <w:rPr>
          <w:rFonts w:cstheme="minorHAnsi"/>
          <w:sz w:val="24"/>
          <w:szCs w:val="24"/>
          <w:lang w:val="pt-PT"/>
        </w:rPr>
        <w:t>verificar e inspecionar no local a realização física e financeira e a legalidade dos projetos aprovados e executados pelos BF</w:t>
      </w:r>
      <w:r w:rsidRPr="000B4AB6">
        <w:rPr>
          <w:rFonts w:cstheme="minorHAnsi"/>
          <w:color w:val="000000"/>
          <w:sz w:val="24"/>
          <w:szCs w:val="24"/>
          <w:lang w:val="pt-PT"/>
        </w:rPr>
        <w:t>;</w:t>
      </w:r>
    </w:p>
    <w:p w:rsidR="000B4AB6" w:rsidRPr="000B4AB6" w:rsidRDefault="000B4AB6" w:rsidP="00A21F04">
      <w:pPr>
        <w:pStyle w:val="ListParagraph"/>
        <w:numPr>
          <w:ilvl w:val="0"/>
          <w:numId w:val="5"/>
        </w:numPr>
        <w:tabs>
          <w:tab w:val="left" w:pos="5954"/>
        </w:tabs>
        <w:spacing w:before="60" w:after="60" w:line="340" w:lineRule="atLeast"/>
        <w:ind w:left="1701" w:hanging="357"/>
        <w:jc w:val="both"/>
        <w:rPr>
          <w:rFonts w:cstheme="minorHAnsi"/>
          <w:color w:val="000000"/>
          <w:sz w:val="24"/>
          <w:szCs w:val="24"/>
          <w:lang w:val="pt-PT"/>
        </w:rPr>
      </w:pPr>
      <w:r w:rsidRPr="000B4AB6">
        <w:rPr>
          <w:rFonts w:cstheme="minorHAnsi"/>
          <w:sz w:val="24"/>
          <w:szCs w:val="24"/>
          <w:lang w:val="pt-PT"/>
        </w:rPr>
        <w:t>Assegurar que os terceiros envolvidos na execução dos fundos do PRR concedem àquelas entidades direitos e acesso equivalentes.</w:t>
      </w:r>
    </w:p>
    <w:p w:rsidR="006D15FC" w:rsidRPr="000B4AB6" w:rsidRDefault="006D15FC" w:rsidP="00A21F04">
      <w:pPr>
        <w:widowControl w:val="0"/>
        <w:autoSpaceDE w:val="0"/>
        <w:autoSpaceDN w:val="0"/>
        <w:spacing w:before="60" w:after="60" w:line="340" w:lineRule="atLeast"/>
        <w:ind w:left="224" w:right="98" w:firstLine="13"/>
        <w:contextualSpacing/>
        <w:jc w:val="both"/>
        <w:rPr>
          <w:rFonts w:eastAsia="Times New Roman" w:cstheme="minorHAnsi"/>
          <w:sz w:val="24"/>
          <w:szCs w:val="24"/>
          <w:lang w:val="pt-PT"/>
        </w:rPr>
      </w:pPr>
    </w:p>
    <w:p w:rsidR="00FE40B6" w:rsidRPr="000B4AB6" w:rsidRDefault="000B4AB6" w:rsidP="00A21F04">
      <w:pPr>
        <w:spacing w:before="60" w:after="60" w:line="340" w:lineRule="atLeast"/>
        <w:contextualSpacing/>
        <w:jc w:val="both"/>
        <w:rPr>
          <w:rFonts w:eastAsia="Times New Roman" w:cstheme="minorHAnsi"/>
          <w:sz w:val="24"/>
          <w:szCs w:val="24"/>
          <w:lang w:val="pt-PT"/>
        </w:rPr>
      </w:pPr>
      <w:r>
        <w:rPr>
          <w:rFonts w:eastAsia="Times New Roman" w:cstheme="minorHAnsi"/>
          <w:sz w:val="24"/>
          <w:szCs w:val="24"/>
          <w:lang w:val="pt-PT"/>
        </w:rPr>
        <w:t>D</w:t>
      </w:r>
      <w:r w:rsidR="00FE40B6" w:rsidRPr="000B4AB6">
        <w:rPr>
          <w:rFonts w:eastAsia="Times New Roman" w:cstheme="minorHAnsi"/>
          <w:sz w:val="24"/>
          <w:szCs w:val="24"/>
          <w:lang w:val="pt-PT"/>
        </w:rPr>
        <w:t>ata e Local,</w:t>
      </w:r>
    </w:p>
    <w:p w:rsidR="00FE40B6" w:rsidRPr="000B4AB6" w:rsidRDefault="00FE40B6" w:rsidP="00A21F04">
      <w:pPr>
        <w:spacing w:before="60" w:after="60" w:line="340" w:lineRule="atLeast"/>
        <w:contextualSpacing/>
        <w:jc w:val="both"/>
        <w:rPr>
          <w:rFonts w:eastAsia="Times New Roman" w:cstheme="minorHAnsi"/>
          <w:sz w:val="24"/>
          <w:szCs w:val="24"/>
          <w:lang w:val="pt-PT"/>
        </w:rPr>
      </w:pPr>
    </w:p>
    <w:p w:rsidR="00FE40B6" w:rsidRPr="000B4AB6" w:rsidRDefault="00FE40B6" w:rsidP="00A21F04">
      <w:pPr>
        <w:spacing w:before="60" w:after="60" w:line="340" w:lineRule="atLeast"/>
        <w:contextualSpacing/>
        <w:jc w:val="both"/>
        <w:rPr>
          <w:rFonts w:eastAsia="Times New Roman" w:cstheme="minorHAnsi"/>
          <w:sz w:val="24"/>
          <w:szCs w:val="24"/>
          <w:lang w:val="pt-PT"/>
        </w:rPr>
      </w:pPr>
    </w:p>
    <w:p w:rsidR="003468C4" w:rsidRPr="000B4AB6" w:rsidRDefault="003468C4" w:rsidP="00A21F04">
      <w:pPr>
        <w:spacing w:before="60" w:after="60" w:line="340" w:lineRule="atLeast"/>
        <w:contextualSpacing/>
        <w:jc w:val="both"/>
        <w:rPr>
          <w:rFonts w:eastAsia="Times New Roman" w:cstheme="minorHAnsi"/>
          <w:sz w:val="24"/>
          <w:szCs w:val="24"/>
          <w:lang w:val="pt-PT"/>
        </w:rPr>
      </w:pPr>
    </w:p>
    <w:p w:rsidR="00FE40B6" w:rsidRPr="000B4AB6" w:rsidRDefault="00FE40B6" w:rsidP="00A21F04">
      <w:pPr>
        <w:spacing w:before="60" w:after="60" w:line="340" w:lineRule="atLeast"/>
        <w:contextualSpacing/>
        <w:jc w:val="center"/>
        <w:rPr>
          <w:rFonts w:eastAsia="Times New Roman" w:cstheme="minorHAnsi"/>
          <w:sz w:val="24"/>
          <w:szCs w:val="24"/>
          <w:lang w:val="pt-PT"/>
        </w:rPr>
      </w:pPr>
      <w:r w:rsidRPr="000B4AB6">
        <w:rPr>
          <w:rFonts w:eastAsia="Times New Roman" w:cstheme="minorHAnsi"/>
          <w:sz w:val="24"/>
          <w:szCs w:val="24"/>
          <w:lang w:val="pt-PT"/>
        </w:rPr>
        <w:t>Identificação da pessoa e da qualidade em que assina</w:t>
      </w:r>
    </w:p>
    <w:p w:rsidR="00FE40B6" w:rsidRPr="00A21F04" w:rsidRDefault="00FE40B6" w:rsidP="00A21F04">
      <w:pPr>
        <w:spacing w:before="60" w:after="60" w:line="340" w:lineRule="atLeast"/>
        <w:contextualSpacing/>
        <w:jc w:val="center"/>
        <w:rPr>
          <w:rFonts w:eastAsia="Times New Roman" w:cstheme="minorHAnsi"/>
          <w:sz w:val="24"/>
          <w:szCs w:val="24"/>
          <w:lang w:val="pt-PT"/>
        </w:rPr>
      </w:pPr>
      <w:r w:rsidRPr="000B4AB6">
        <w:rPr>
          <w:rFonts w:eastAsia="Times New Roman" w:cstheme="minorHAnsi"/>
          <w:sz w:val="24"/>
          <w:szCs w:val="24"/>
          <w:lang w:val="pt-PT"/>
        </w:rPr>
        <w:t xml:space="preserve">(Assinatura digital ou conforme </w:t>
      </w:r>
      <w:proofErr w:type="spellStart"/>
      <w:r w:rsidRPr="000B4AB6">
        <w:rPr>
          <w:rFonts w:eastAsia="Times New Roman" w:cstheme="minorHAnsi"/>
          <w:sz w:val="24"/>
          <w:szCs w:val="24"/>
          <w:lang w:val="pt-PT"/>
        </w:rPr>
        <w:t>cc</w:t>
      </w:r>
      <w:proofErr w:type="spellEnd"/>
      <w:r w:rsidRPr="000B4AB6">
        <w:rPr>
          <w:rFonts w:eastAsia="Times New Roman" w:cstheme="minorHAnsi"/>
          <w:sz w:val="24"/>
          <w:szCs w:val="24"/>
          <w:lang w:val="pt-PT"/>
        </w:rPr>
        <w:t>)</w:t>
      </w:r>
    </w:p>
    <w:sectPr w:rsidR="00FE40B6" w:rsidRPr="00A21F04" w:rsidSect="00514E88">
      <w:headerReference w:type="default" r:id="rId7"/>
      <w:footerReference w:type="default" r:id="rId8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69DA" w:rsidRDefault="005E69DA" w:rsidP="005E69DA">
      <w:pPr>
        <w:spacing w:after="0" w:line="240" w:lineRule="auto"/>
      </w:pPr>
      <w:r>
        <w:separator/>
      </w:r>
    </w:p>
  </w:endnote>
  <w:endnote w:type="continuationSeparator" w:id="0">
    <w:p w:rsidR="005E69DA" w:rsidRDefault="005E69DA" w:rsidP="005E69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4E88" w:rsidRDefault="00514E88" w:rsidP="00514E88">
    <w:pPr>
      <w:pStyle w:val="Footer"/>
      <w:jc w:val="center"/>
    </w:pPr>
    <w:r>
      <w:rPr>
        <w:noProof/>
        <w:lang w:val="pt-PT" w:eastAsia="pt-PT"/>
      </w:rPr>
      <w:drawing>
        <wp:inline distT="0" distB="0" distL="0" distR="0" wp14:anchorId="00B1F94C" wp14:editId="46B58617">
          <wp:extent cx="5126990" cy="506095"/>
          <wp:effectExtent l="0" t="0" r="0" b="0"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2699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69DA" w:rsidRDefault="005E69DA" w:rsidP="005E69DA">
      <w:pPr>
        <w:spacing w:after="0" w:line="240" w:lineRule="auto"/>
      </w:pPr>
      <w:r>
        <w:separator/>
      </w:r>
    </w:p>
  </w:footnote>
  <w:footnote w:type="continuationSeparator" w:id="0">
    <w:p w:rsidR="005E69DA" w:rsidRDefault="005E69DA" w:rsidP="005E69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4E88" w:rsidRPr="00514E88" w:rsidRDefault="00514E88" w:rsidP="00514E88">
    <w:pPr>
      <w:tabs>
        <w:tab w:val="center" w:pos="4513"/>
        <w:tab w:val="right" w:pos="9026"/>
      </w:tabs>
      <w:spacing w:before="120" w:after="0" w:line="240" w:lineRule="auto"/>
      <w:jc w:val="both"/>
      <w:rPr>
        <w:rFonts w:ascii="Calibri Light" w:eastAsiaTheme="minorEastAsia" w:hAnsi="Calibri Light" w:cs="Times New Roman"/>
        <w:szCs w:val="20"/>
        <w:lang w:val="pt-PT"/>
      </w:rPr>
    </w:pPr>
    <w:r w:rsidRPr="00514E88">
      <w:rPr>
        <w:rFonts w:ascii="Calibri Light" w:eastAsiaTheme="minorEastAsia" w:hAnsi="Calibri Light" w:cs="Times New Roman"/>
        <w:noProof/>
        <w:szCs w:val="20"/>
        <w:lang w:val="pt-PT" w:eastAsia="pt-PT"/>
      </w:rPr>
      <w:drawing>
        <wp:inline distT="0" distB="0" distL="0" distR="0">
          <wp:extent cx="866775" cy="685800"/>
          <wp:effectExtent l="0" t="0" r="952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14E88">
      <w:rPr>
        <w:rFonts w:ascii="Calibri Light" w:eastAsiaTheme="minorEastAsia" w:hAnsi="Calibri Light" w:cs="Times New Roman"/>
        <w:szCs w:val="20"/>
        <w:lang w:val="pt-PT"/>
      </w:rPr>
      <w:tab/>
    </w:r>
    <w:r w:rsidRPr="00514E88">
      <w:rPr>
        <w:rFonts w:ascii="Calibri Light" w:eastAsiaTheme="minorEastAsia" w:hAnsi="Calibri Light" w:cs="Times New Roman"/>
        <w:noProof/>
        <w:szCs w:val="20"/>
        <w:lang w:val="pt-PT" w:eastAsia="pt-PT"/>
      </w:rPr>
      <w:drawing>
        <wp:inline distT="0" distB="0" distL="0" distR="0">
          <wp:extent cx="1400175" cy="53340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14E88">
      <w:rPr>
        <w:rFonts w:ascii="Calibri Light" w:eastAsiaTheme="minorEastAsia" w:hAnsi="Calibri Light" w:cs="Times New Roman"/>
        <w:szCs w:val="20"/>
        <w:lang w:val="pt-PT"/>
      </w:rPr>
      <w:tab/>
    </w:r>
  </w:p>
  <w:p w:rsidR="00514E88" w:rsidRDefault="00514E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67617"/>
    <w:multiLevelType w:val="hybridMultilevel"/>
    <w:tmpl w:val="CC708808"/>
    <w:lvl w:ilvl="0" w:tplc="212638B8">
      <w:start w:val="1"/>
      <w:numFmt w:val="bullet"/>
      <w:lvlText w:val=""/>
      <w:lvlJc w:val="left"/>
      <w:pPr>
        <w:ind w:left="1353" w:hanging="360"/>
      </w:pPr>
      <w:rPr>
        <w:rFonts w:ascii="Wingdings" w:hAnsi="Wingdings" w:hint="default"/>
        <w:b w:val="0"/>
        <w:caps w:val="0"/>
        <w:smallCaps w:val="0"/>
        <w:color w:val="000000" w:themeColor="text1"/>
        <w:spacing w:val="0"/>
        <w14:glow w14:rad="0">
          <w14:srgbClr w14:val="000000"/>
        </w14:glow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1" w:tplc="08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 w15:restartNumberingAfterBreak="0">
    <w:nsid w:val="149C514F"/>
    <w:multiLevelType w:val="hybridMultilevel"/>
    <w:tmpl w:val="07FCA1E6"/>
    <w:lvl w:ilvl="0" w:tplc="95A45F8A">
      <w:start w:val="1"/>
      <w:numFmt w:val="upperRoman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395439"/>
    <w:multiLevelType w:val="hybridMultilevel"/>
    <w:tmpl w:val="C3E601D8"/>
    <w:lvl w:ilvl="0" w:tplc="953CCB3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6C17F5C"/>
    <w:multiLevelType w:val="hybridMultilevel"/>
    <w:tmpl w:val="9620B23E"/>
    <w:lvl w:ilvl="0" w:tplc="95A45F8A">
      <w:start w:val="1"/>
      <w:numFmt w:val="upperRoman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E563F6"/>
    <w:multiLevelType w:val="hybridMultilevel"/>
    <w:tmpl w:val="BD5C14F4"/>
    <w:lvl w:ilvl="0" w:tplc="426A6A8E">
      <w:start w:val="1"/>
      <w:numFmt w:val="upperRoman"/>
      <w:lvlText w:val="%1."/>
      <w:lvlJc w:val="right"/>
      <w:pPr>
        <w:ind w:left="1429" w:hanging="360"/>
      </w:pPr>
      <w:rPr>
        <w:b w:val="0"/>
        <w:caps w:val="0"/>
        <w:smallCaps w:val="0"/>
        <w:color w:val="000000" w:themeColor="text1"/>
        <w:spacing w:val="0"/>
        <w14:glow w14:rad="0">
          <w14:srgbClr w14:val="000000"/>
        </w14:glow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1" w:tplc="61648D74">
      <w:start w:val="1"/>
      <w:numFmt w:val="lowerLetter"/>
      <w:lvlText w:val="%2)"/>
      <w:lvlJc w:val="left"/>
      <w:pPr>
        <w:ind w:left="2149" w:hanging="360"/>
      </w:pPr>
      <w:rPr>
        <w:rFonts w:hint="default"/>
        <w:b w:val="0"/>
        <w:caps w:val="0"/>
        <w:smallCaps w:val="0"/>
        <w:color w:val="000000" w:themeColor="text1"/>
        <w:spacing w:val="0"/>
        <w14:glow w14:rad="0">
          <w14:srgbClr w14:val="000000"/>
        </w14:glow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PT" w:vendorID="64" w:dllVersion="131078" w:nlCheck="1" w:checkStyle="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0B6"/>
    <w:rsid w:val="000B4AB6"/>
    <w:rsid w:val="00284B24"/>
    <w:rsid w:val="003468C4"/>
    <w:rsid w:val="00514E88"/>
    <w:rsid w:val="005A54B8"/>
    <w:rsid w:val="005D220B"/>
    <w:rsid w:val="005E69DA"/>
    <w:rsid w:val="0063164A"/>
    <w:rsid w:val="006D15FC"/>
    <w:rsid w:val="007B107C"/>
    <w:rsid w:val="008230D4"/>
    <w:rsid w:val="00A21F04"/>
    <w:rsid w:val="00B85C08"/>
    <w:rsid w:val="00E26D08"/>
    <w:rsid w:val="00E37D51"/>
    <w:rsid w:val="00E71854"/>
    <w:rsid w:val="00EA1140"/>
    <w:rsid w:val="00EA3662"/>
    <w:rsid w:val="00FE4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03A070"/>
  <w15:chartTrackingRefBased/>
  <w15:docId w15:val="{766D46E8-AA9B-4C40-B35F-794442436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40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 Points,Liste Paragraf,Listenabsatz1,Bullet List Paragraph,List Paragraph1,Level 1 Bullet,lp1,Dot pt,F5 List Paragraph,No Spacing1,List Paragraph Char Char Char,Indicator Text,Numbered Para 1,Colorful List - Accent 11,Bullet 1,2"/>
    <w:basedOn w:val="Normal"/>
    <w:link w:val="ListParagraphChar"/>
    <w:uiPriority w:val="34"/>
    <w:qFormat/>
    <w:rsid w:val="00FE40B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69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9DA"/>
  </w:style>
  <w:style w:type="paragraph" w:styleId="Footer">
    <w:name w:val="footer"/>
    <w:basedOn w:val="Normal"/>
    <w:link w:val="FooterChar"/>
    <w:uiPriority w:val="99"/>
    <w:unhideWhenUsed/>
    <w:rsid w:val="005E69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9DA"/>
  </w:style>
  <w:style w:type="character" w:customStyle="1" w:styleId="ListParagraphChar">
    <w:name w:val="List Paragraph Char"/>
    <w:aliases w:val="Bullet Points Char,Liste Paragraf Char,Listenabsatz1 Char,Bullet List Paragraph Char,List Paragraph1 Char,Level 1 Bullet Char,lp1 Char,Dot pt Char,F5 List Paragraph Char,No Spacing1 Char,List Paragraph Char Char Char Char,2 Char"/>
    <w:link w:val="ListParagraph"/>
    <w:uiPriority w:val="34"/>
    <w:qFormat/>
    <w:locked/>
    <w:rsid w:val="000B4A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334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Almeida Teixeira</dc:creator>
  <cp:keywords/>
  <dc:description/>
  <cp:lastModifiedBy>Rui Estríbio</cp:lastModifiedBy>
  <cp:revision>3</cp:revision>
  <dcterms:created xsi:type="dcterms:W3CDTF">2022-03-10T17:42:00Z</dcterms:created>
  <dcterms:modified xsi:type="dcterms:W3CDTF">2022-03-11T16:40:00Z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doclink_DocumentConvertToPdf">
    <vt:lpwstr/>
  </property>
</Properties>
</file>