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20" w:type="dxa"/>
        <w:jc w:val="center"/>
        <w:tblLook w:val="04A0" w:firstRow="1" w:lastRow="0" w:firstColumn="1" w:lastColumn="0" w:noHBand="0" w:noVBand="1"/>
      </w:tblPr>
      <w:tblGrid>
        <w:gridCol w:w="3380"/>
        <w:gridCol w:w="3380"/>
        <w:gridCol w:w="3380"/>
        <w:gridCol w:w="3380"/>
      </w:tblGrid>
      <w:tr w:rsidR="00EF6499" w:rsidRPr="00EF6499" w:rsidTr="00EF6499">
        <w:trPr>
          <w:trHeight w:val="290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808080"/>
            <w:vAlign w:val="center"/>
            <w:hideMark/>
          </w:tcPr>
          <w:p w:rsidR="00EF6499" w:rsidRPr="00EF6499" w:rsidRDefault="00EF6499" w:rsidP="00EF6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Investimento</w:t>
            </w:r>
            <w:proofErr w:type="spellEnd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 xml:space="preserve"> | </w:t>
            </w: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Execução</w:t>
            </w:r>
            <w:proofErr w:type="spellEnd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 xml:space="preserve"> do CIA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808080"/>
            <w:vAlign w:val="center"/>
            <w:hideMark/>
          </w:tcPr>
          <w:p w:rsidR="00EF6499" w:rsidRPr="00EF6499" w:rsidRDefault="00EF6499" w:rsidP="00EF6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Imposto</w:t>
            </w:r>
            <w:proofErr w:type="spellEnd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 xml:space="preserve"> - Taxa | regime </w:t>
            </w: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geral</w:t>
            </w:r>
            <w:proofErr w:type="spellEnd"/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808080"/>
            <w:vAlign w:val="center"/>
            <w:hideMark/>
          </w:tcPr>
          <w:p w:rsidR="00EF6499" w:rsidRPr="00EF6499" w:rsidRDefault="00EF6499" w:rsidP="00EF6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Imposto</w:t>
            </w:r>
            <w:proofErr w:type="spellEnd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 xml:space="preserve"> | </w:t>
            </w: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Benefício</w:t>
            </w:r>
            <w:proofErr w:type="spellEnd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 xml:space="preserve"> fiscal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EF6499" w:rsidRPr="00EF6499" w:rsidRDefault="00EF6499" w:rsidP="00EF64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bCs/>
                <w:color w:val="FFFFFF"/>
                <w:sz w:val="18"/>
                <w:szCs w:val="18"/>
                <w:lang w:eastAsia="en-GB"/>
              </w:rPr>
              <w:t>Poupança</w:t>
            </w:r>
            <w:proofErr w:type="spellEnd"/>
          </w:p>
        </w:tc>
      </w:tr>
      <w:tr w:rsidR="00EF6499" w:rsidRPr="00EF6499" w:rsidTr="00EF6499">
        <w:trPr>
          <w:trHeight w:val="32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Aquisição de terrenos e imóveis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Taxa de IMT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aplicável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Isenção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de IMT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100 % do IMT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devido</w:t>
            </w:r>
            <w:proofErr w:type="spellEnd"/>
          </w:p>
        </w:tc>
      </w:tr>
      <w:tr w:rsidR="00EF6499" w:rsidRPr="00EF6499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F6499" w:rsidRPr="00EF6499" w:rsidTr="00EF6499">
        <w:trPr>
          <w:trHeight w:val="21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Aquisição de terrenos e imóveis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Taxa de Imposto do Selo aplicável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Isenção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de IS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100 % do IS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devido</w:t>
            </w:r>
            <w:proofErr w:type="spellEnd"/>
          </w:p>
        </w:tc>
      </w:tr>
      <w:tr w:rsidR="00EF6499" w:rsidRPr="00EF6499" w:rsidTr="00EF6499">
        <w:trPr>
          <w:trHeight w:val="21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F6499" w:rsidRPr="007609FD" w:rsidTr="00EF6499">
        <w:trPr>
          <w:trHeight w:val="42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Construção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ou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reabilitação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Taxa de IVA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aplicável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Aplicação da taxa reduzida (6%) prevista na verba 2.42.2 da Lista I do Código do IVA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Redução da taxa de Iva aplicável para (6%)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EF6499" w:rsidTr="00EF6499">
        <w:trPr>
          <w:trHeight w:val="42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Projetos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e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estudos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IVA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suportado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sem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restituição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Restituição de 50 % do montante equivalente ao IVA suportado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50 % do  IVA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elegível</w:t>
            </w:r>
            <w:proofErr w:type="spellEnd"/>
          </w:p>
        </w:tc>
      </w:tr>
      <w:tr w:rsidR="00EF6499" w:rsidRPr="00EF6499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F6499" w:rsidRPr="007609FD" w:rsidTr="00EF6499">
        <w:trPr>
          <w:trHeight w:val="59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Propriedade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dos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imóveis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Taxa de IMI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aplicável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Isenção de IMI por um período de até 8 anos, a contar do ano da aquisição, inclusive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100 % do IMI durante o período de isenção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7609FD" w:rsidTr="00EF6499">
        <w:trPr>
          <w:trHeight w:val="63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Propriedade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dos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imóveis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Taxa de IMI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aplicável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Redução de 50 % da taxa de IMI, até ao limite do Contrato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Redução de 50 % da taxa IMI no período remanescente ( após 8 anos de isenção e até à vigência do CIA)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EF6499" w:rsidTr="00EF6499">
        <w:trPr>
          <w:trHeight w:val="29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Propriedade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dos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imóveis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AIMI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devido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quando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aplicável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Isenção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de AIMI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100 % do AIMI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devido</w:t>
            </w:r>
            <w:proofErr w:type="spellEnd"/>
          </w:p>
        </w:tc>
      </w:tr>
      <w:tr w:rsidR="00EF6499" w:rsidRPr="00EF6499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EF6499" w:rsidRPr="007609FD" w:rsidTr="00EF6499">
        <w:trPr>
          <w:trHeight w:val="42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Organismos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de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investimento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alternativo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Taxa prevista na verba 29.2 da TGIS (0,0125 % por trimestre)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Redução de 50 % da taxa, em função da proporção dos ativos abrangidos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50 % da taxa de Imposto do Selo aplicável, na proporção dos ativos abrangidos pelo CIA.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7609FD" w:rsidTr="00EF6499">
        <w:trPr>
          <w:trHeight w:val="63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Celebração de contratos com renda de valor moderado (até 2.300 € em 2026) - Pessoa singular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 xml:space="preserve">Taxa autónoma geral aplicável </w:t>
            </w:r>
            <w:r w:rsidRPr="00EF6499">
              <w:rPr>
                <w:rFonts w:ascii="Calibri" w:eastAsia="Times New Roman" w:hAnsi="Calibri" w:cs="Calibri"/>
                <w:sz w:val="16"/>
                <w:szCs w:val="16"/>
                <w:lang w:val="pt-PT" w:eastAsia="en-GB"/>
              </w:rPr>
              <w:t>( 25%, sem prejuízo de taxas mais fa</w:t>
            </w:r>
            <w:bookmarkStart w:id="0" w:name="_GoBack"/>
            <w:bookmarkEnd w:id="0"/>
            <w:r w:rsidRPr="00EF6499">
              <w:rPr>
                <w:rFonts w:ascii="Calibri" w:eastAsia="Times New Roman" w:hAnsi="Calibri" w:cs="Calibri"/>
                <w:sz w:val="16"/>
                <w:szCs w:val="16"/>
                <w:lang w:val="pt-PT" w:eastAsia="en-GB"/>
              </w:rPr>
              <w:t>voráveis)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Taxa autónoma de 10 %, salvo aplicação de taxa mais favorável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Redução da taxa para 10 %, ou para a taxa mais favorável aplicável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7609FD" w:rsidTr="00EF6499">
        <w:trPr>
          <w:trHeight w:val="84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Celebração de contratos com renda de valor moderado  (até 2.300 € em 2026)  - sujeitos passivos de IRC ou de IRS, categoria B, com contabilidade organizada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100 % dos rendimentos considerados para tributação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Apenas 50 % dos rendimentos prediais (rendas) são considerados para tributação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 xml:space="preserve"> 50 % dos rendimentos prediais (rendas) não são tributados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D9D9D9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 </w:t>
            </w:r>
          </w:p>
        </w:tc>
      </w:tr>
      <w:tr w:rsidR="00EF6499" w:rsidRPr="007609FD" w:rsidTr="00EF6499">
        <w:trPr>
          <w:trHeight w:val="750"/>
          <w:jc w:val="center"/>
        </w:trPr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Celebração de contratos ao abrigo do RSAA (arrendamento acessível - limite baseado em 80 % da mediana das rendas por m² do concelho )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Tributação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nos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termos</w:t>
            </w:r>
            <w:proofErr w:type="spellEnd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gerais</w:t>
            </w:r>
            <w:proofErr w:type="spellEnd"/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nil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Isenção de IRS ou IRC sobre os rendimentos prediais (rendas)</w:t>
            </w:r>
          </w:p>
        </w:tc>
        <w:tc>
          <w:tcPr>
            <w:tcW w:w="3380" w:type="dxa"/>
            <w:tcBorders>
              <w:top w:val="single" w:sz="4" w:space="0" w:color="95B3D7"/>
              <w:left w:val="single" w:sz="4" w:space="0" w:color="auto"/>
              <w:bottom w:val="single" w:sz="4" w:space="0" w:color="95B3D7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6"/>
                <w:szCs w:val="16"/>
                <w:lang w:val="pt-PT" w:eastAsia="en-GB"/>
              </w:rPr>
              <w:t>100 % do IRS ou do IRC sobre os rendimentos das rendas</w:t>
            </w:r>
          </w:p>
        </w:tc>
      </w:tr>
      <w:tr w:rsidR="00EF6499" w:rsidRPr="007609FD" w:rsidTr="00EF6499">
        <w:trPr>
          <w:trHeight w:val="20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 </w:t>
            </w:r>
          </w:p>
        </w:tc>
      </w:tr>
      <w:tr w:rsidR="00EF6499" w:rsidRPr="00EF6499" w:rsidTr="00EF6499">
        <w:trPr>
          <w:trHeight w:val="290"/>
          <w:jc w:val="center"/>
        </w:trPr>
        <w:tc>
          <w:tcPr>
            <w:tcW w:w="3380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proofErr w:type="spellStart"/>
            <w:r w:rsidRPr="00EF649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Dá</w:t>
            </w:r>
            <w:proofErr w:type="spellEnd"/>
            <w:r w:rsidRPr="00EF649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-se Nota:</w:t>
            </w:r>
          </w:p>
        </w:tc>
        <w:tc>
          <w:tcPr>
            <w:tcW w:w="33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38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EF6499" w:rsidRPr="007609FD" w:rsidTr="00EF6499">
        <w:trPr>
          <w:trHeight w:val="290"/>
          <w:jc w:val="center"/>
        </w:trPr>
        <w:tc>
          <w:tcPr>
            <w:tcW w:w="135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A aplicação das isenções de IMT e IMI e da redução de 50 % da taxa de IMI depende de deliberação da assembleia municipal, sob proposta da câmara municipal.</w:t>
            </w:r>
          </w:p>
        </w:tc>
      </w:tr>
      <w:tr w:rsidR="00EF6499" w:rsidRPr="007609FD" w:rsidTr="00EF6499">
        <w:trPr>
          <w:trHeight w:val="290"/>
          <w:jc w:val="center"/>
        </w:trPr>
        <w:tc>
          <w:tcPr>
            <w:tcW w:w="135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A redução de 50% da taxa de IMI aplica-se no período remanescente de vigência do CIA ( conta depois de terminarem os 8 anos de isenção), até ao fim da duração do CIA ( prazo máximo de 25 anos)</w:t>
            </w:r>
          </w:p>
        </w:tc>
      </w:tr>
      <w:tr w:rsidR="00EF6499" w:rsidRPr="007609FD" w:rsidTr="00EF6499">
        <w:trPr>
          <w:trHeight w:val="290"/>
          <w:jc w:val="center"/>
        </w:trPr>
        <w:tc>
          <w:tcPr>
            <w:tcW w:w="135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A restituição de IVA não abrange projetos e estudos de obras de urbanização.</w:t>
            </w:r>
          </w:p>
        </w:tc>
      </w:tr>
      <w:tr w:rsidR="00EF6499" w:rsidRPr="007609FD" w:rsidTr="007609FD">
        <w:trPr>
          <w:trHeight w:val="580"/>
          <w:jc w:val="center"/>
        </w:trPr>
        <w:tc>
          <w:tcPr>
            <w:tcW w:w="135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F6499" w:rsidRPr="00EF6499" w:rsidRDefault="00EF6499" w:rsidP="00EF64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</w:pPr>
            <w:r w:rsidRPr="00EF6499">
              <w:rPr>
                <w:rFonts w:ascii="Calibri" w:eastAsia="Times New Roman" w:hAnsi="Calibri" w:cs="Calibri"/>
                <w:color w:val="000000"/>
                <w:sz w:val="18"/>
                <w:szCs w:val="18"/>
                <w:lang w:val="pt-PT" w:eastAsia="en-GB"/>
              </w:rPr>
              <w:t>Os benefícios relativos aos contratos com renda de valor moderado e renda acessível correspondem à fase de celebração de contratos de arrendamento na execução do CIA, quando aplicáveis</w:t>
            </w:r>
          </w:p>
        </w:tc>
      </w:tr>
    </w:tbl>
    <w:p w:rsidR="006E2A75" w:rsidRPr="00EF6499" w:rsidRDefault="006E2A75" w:rsidP="007609FD">
      <w:pPr>
        <w:rPr>
          <w:lang w:val="pt-PT"/>
        </w:rPr>
      </w:pPr>
    </w:p>
    <w:sectPr w:rsidR="006E2A75" w:rsidRPr="00EF6499" w:rsidSect="00EF649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499"/>
    <w:rsid w:val="006E2A75"/>
    <w:rsid w:val="007609FD"/>
    <w:rsid w:val="00E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65BE"/>
  <w15:chartTrackingRefBased/>
  <w15:docId w15:val="{437657CF-D5D0-4C07-AA86-F217AB136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Insituto da Habitação e da Reabilitação Urbana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Valente</dc:creator>
  <cp:keywords/>
  <dc:description/>
  <cp:lastModifiedBy>Eduardo Brás</cp:lastModifiedBy>
  <cp:revision>2</cp:revision>
  <dcterms:created xsi:type="dcterms:W3CDTF">2026-08-27T14:57:00Z</dcterms:created>
  <dcterms:modified xsi:type="dcterms:W3CDTF">2026-08-27T14:57:00Z</dcterms:modified>
</cp:coreProperties>
</file>